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4820"/>
        <w:gridCol w:w="5245"/>
      </w:tblGrid>
      <w:tr w:rsidR="009F0FD2" w14:paraId="45E7DD24" w14:textId="77777777">
        <w:tc>
          <w:tcPr>
            <w:tcW w:w="4820" w:type="dxa"/>
          </w:tcPr>
          <w:p w14:paraId="78EC1A7B" w14:textId="673FE526" w:rsidR="009F0FD2" w:rsidRDefault="0061373F">
            <w:pPr>
              <w:tabs>
                <w:tab w:val="left" w:pos="851"/>
              </w:tabs>
              <w:rPr>
                <w:rFonts w:ascii="Calibri" w:hAnsi="Calibri"/>
              </w:rPr>
            </w:pPr>
            <w:r>
              <w:rPr>
                <w:rFonts w:ascii="Calibri" w:hAnsi="Calibri"/>
              </w:rPr>
              <w:t>From:</w:t>
            </w:r>
            <w:r>
              <w:rPr>
                <w:rFonts w:ascii="Calibri" w:hAnsi="Calibri"/>
              </w:rPr>
              <w:tab/>
              <w:t>ENG Committee</w:t>
            </w:r>
          </w:p>
        </w:tc>
        <w:tc>
          <w:tcPr>
            <w:tcW w:w="5245" w:type="dxa"/>
          </w:tcPr>
          <w:p w14:paraId="14C0DCEB" w14:textId="2A9CAC3F" w:rsidR="009F0FD2" w:rsidRDefault="0061373F">
            <w:pPr>
              <w:jc w:val="right"/>
              <w:rPr>
                <w:rFonts w:ascii="Calibri" w:hAnsi="Calibri"/>
              </w:rPr>
            </w:pPr>
            <w:r>
              <w:rPr>
                <w:rFonts w:ascii="Calibri" w:hAnsi="Calibri"/>
              </w:rPr>
              <w:t>ENG15-</w:t>
            </w:r>
            <w:r w:rsidR="00CA3D87">
              <w:rPr>
                <w:rFonts w:ascii="Calibri" w:hAnsi="Calibri"/>
              </w:rPr>
              <w:t>12.1.3</w:t>
            </w:r>
          </w:p>
        </w:tc>
      </w:tr>
      <w:tr w:rsidR="009F0FD2" w14:paraId="297346F3" w14:textId="77777777">
        <w:tc>
          <w:tcPr>
            <w:tcW w:w="4820" w:type="dxa"/>
          </w:tcPr>
          <w:p w14:paraId="6B1B89A3" w14:textId="06A31874" w:rsidR="009F0FD2" w:rsidRDefault="0061373F">
            <w:pPr>
              <w:tabs>
                <w:tab w:val="left" w:pos="851"/>
              </w:tabs>
              <w:rPr>
                <w:rFonts w:ascii="Calibri" w:hAnsi="Calibri"/>
              </w:rPr>
            </w:pPr>
            <w:r>
              <w:rPr>
                <w:rFonts w:ascii="Calibri" w:hAnsi="Calibri"/>
              </w:rPr>
              <w:t>To:</w:t>
            </w:r>
            <w:r>
              <w:rPr>
                <w:rFonts w:ascii="Calibri" w:hAnsi="Calibri"/>
              </w:rPr>
              <w:tab/>
              <w:t>ARM</w:t>
            </w:r>
          </w:p>
        </w:tc>
        <w:tc>
          <w:tcPr>
            <w:tcW w:w="5245" w:type="dxa"/>
          </w:tcPr>
          <w:p w14:paraId="1A7C3112" w14:textId="39EDD88E" w:rsidR="009F0FD2" w:rsidRPr="00CA3D87" w:rsidRDefault="0061373F">
            <w:pPr>
              <w:jc w:val="right"/>
              <w:rPr>
                <w:rFonts w:ascii="Calibri" w:hAnsi="Calibri"/>
              </w:rPr>
            </w:pPr>
            <w:r w:rsidRPr="00CA3D87">
              <w:rPr>
                <w:rFonts w:ascii="Calibri" w:hAnsi="Calibri"/>
              </w:rPr>
              <w:t>09. Mar. 22</w:t>
            </w:r>
          </w:p>
        </w:tc>
      </w:tr>
    </w:tbl>
    <w:p w14:paraId="46758FB9" w14:textId="77777777" w:rsidR="009F0FD2" w:rsidRDefault="0061373F">
      <w:pPr>
        <w:pStyle w:val="Title"/>
        <w:spacing w:before="480" w:after="120"/>
        <w:rPr>
          <w:rFonts w:ascii="Calibri" w:hAnsi="Calibri"/>
          <w:color w:val="00558C"/>
        </w:rPr>
      </w:pPr>
      <w:r>
        <w:rPr>
          <w:rFonts w:ascii="Calibri" w:hAnsi="Calibri"/>
          <w:color w:val="00558C"/>
        </w:rPr>
        <w:t>LIAISON NOTE</w:t>
      </w:r>
    </w:p>
    <w:p w14:paraId="271795EF" w14:textId="7499A530" w:rsidR="009F0FD2" w:rsidRDefault="0061373F">
      <w:pPr>
        <w:pStyle w:val="Title"/>
        <w:spacing w:after="120"/>
        <w:rPr>
          <w:rFonts w:ascii="Calibri" w:hAnsi="Calibri"/>
          <w:color w:val="00558C"/>
        </w:rPr>
      </w:pPr>
      <w:r>
        <w:rPr>
          <w:rFonts w:ascii="Calibri" w:hAnsi="Calibri"/>
          <w:color w:val="00558C"/>
        </w:rPr>
        <w:t>Definitions of Ranges of AtoN Lights</w:t>
      </w:r>
    </w:p>
    <w:p w14:paraId="4EDFB09D" w14:textId="77777777" w:rsidR="009F0FD2" w:rsidRDefault="0061373F">
      <w:pPr>
        <w:pStyle w:val="Heading1"/>
      </w:pPr>
      <w:r>
        <w:t>Introduction</w:t>
      </w:r>
    </w:p>
    <w:p w14:paraId="7687591D" w14:textId="456307F7" w:rsidR="009F0FD2" w:rsidRDefault="0061373F">
      <w:pPr>
        <w:pStyle w:val="BodyText"/>
      </w:pPr>
      <w:r>
        <w:rPr>
          <w:rFonts w:asciiTheme="minorHAnsi" w:hAnsiTheme="minorHAnsi" w:cstheme="minorHAnsi"/>
          <w:lang w:eastAsia="de-DE"/>
        </w:rPr>
        <w:t xml:space="preserve">ENG Committee proposes amendments to the definitions of Luminous and Nominal Range and some more amendments in </w:t>
      </w:r>
      <w:r w:rsidR="008F162A">
        <w:rPr>
          <w:rFonts w:asciiTheme="minorHAnsi" w:hAnsiTheme="minorHAnsi" w:cstheme="minorHAnsi"/>
          <w:lang w:eastAsia="de-DE"/>
        </w:rPr>
        <w:t xml:space="preserve">the </w:t>
      </w:r>
      <w:r>
        <w:rPr>
          <w:rFonts w:asciiTheme="minorHAnsi" w:hAnsiTheme="minorHAnsi" w:cstheme="minorHAnsi"/>
          <w:lang w:eastAsia="de-DE"/>
        </w:rPr>
        <w:t xml:space="preserve">definitions proposed for IALA Dictionary in the document </w:t>
      </w:r>
      <w:r>
        <w:rPr>
          <w:i/>
        </w:rPr>
        <w:t>ARM14-7.3.12 WP Task 1.5.3 - New Definitions for IALA Dictionary</w:t>
      </w:r>
      <w:r>
        <w:t xml:space="preserve"> and in the wider context of IALA documents.</w:t>
      </w:r>
    </w:p>
    <w:p w14:paraId="4172A4D2" w14:textId="77777777" w:rsidR="009F0FD2" w:rsidRDefault="0061373F">
      <w:pPr>
        <w:pStyle w:val="Heading1"/>
      </w:pPr>
      <w:r>
        <w:t>Proposals</w:t>
      </w:r>
    </w:p>
    <w:p w14:paraId="6629ECB8" w14:textId="77777777" w:rsidR="009F0FD2" w:rsidRDefault="0061373F">
      <w:pPr>
        <w:pStyle w:val="Heading2"/>
      </w:pPr>
      <w:r>
        <w:t>Definition on Luminous and Nominal Range</w:t>
      </w:r>
    </w:p>
    <w:p w14:paraId="3B74002A" w14:textId="0BD6B2C5" w:rsidR="009F0FD2" w:rsidRDefault="0061373F">
      <w:pPr>
        <w:pStyle w:val="BodyText"/>
        <w:rPr>
          <w:rFonts w:asciiTheme="minorHAnsi" w:hAnsiTheme="minorHAnsi" w:cstheme="minorHAnsi"/>
          <w:lang w:eastAsia="de-DE"/>
        </w:rPr>
      </w:pPr>
      <w:r>
        <w:t xml:space="preserve">Based on the current IALA Recommendation R0202 on Luminous Range and for unification of the parameters used in definitions and completeness of the definitions, ENG proposes the definitions in the </w:t>
      </w:r>
      <w:r>
        <w:fldChar w:fldCharType="begin"/>
      </w:r>
      <w:r>
        <w:instrText xml:space="preserve"> REF _Ref97552129 \h </w:instrText>
      </w:r>
      <w:r>
        <w:fldChar w:fldCharType="separate"/>
      </w:r>
      <w:r>
        <w:t xml:space="preserve">Table </w:t>
      </w:r>
      <w:r>
        <w:rPr>
          <w:noProof/>
        </w:rPr>
        <w:t>1</w:t>
      </w:r>
      <w:r>
        <w:fldChar w:fldCharType="end"/>
      </w:r>
      <w:r>
        <w:t xml:space="preserve"> for IALA Dictionary.</w:t>
      </w:r>
    </w:p>
    <w:p w14:paraId="6C371429" w14:textId="77777777" w:rsidR="009F0FD2" w:rsidRDefault="0061373F">
      <w:pPr>
        <w:rPr>
          <w:rFonts w:asciiTheme="minorHAnsi" w:hAnsiTheme="minorHAnsi" w:cstheme="minorHAnsi"/>
          <w:lang w:eastAsia="de-DE"/>
        </w:rPr>
      </w:pPr>
      <w:r>
        <w:rPr>
          <w:rFonts w:asciiTheme="minorHAnsi" w:hAnsiTheme="minorHAnsi" w:cstheme="minorHAnsi"/>
          <w:lang w:eastAsia="de-DE"/>
        </w:rPr>
        <w:t>Background: The tools of R0202 allow the mariner to estimate the current luminous range in a specific situation with the figures in the Annex (luminous range diagram) of the recommendation. They are based on meteorological visibility V instead of transmissivity T, and usually the diagrams are published in the list of lights with visibility V.</w:t>
      </w:r>
    </w:p>
    <w:p w14:paraId="180D5EFC" w14:textId="77777777" w:rsidR="009F0FD2" w:rsidRDefault="009F0FD2">
      <w:pPr>
        <w:rPr>
          <w:rFonts w:asciiTheme="minorHAnsi" w:hAnsiTheme="minorHAnsi" w:cstheme="minorHAnsi"/>
          <w:lang w:eastAsia="de-DE"/>
        </w:rPr>
      </w:pPr>
    </w:p>
    <w:p w14:paraId="5401A736" w14:textId="77777777" w:rsidR="009F0FD2" w:rsidRDefault="0061373F">
      <w:pPr>
        <w:pStyle w:val="Caption"/>
        <w:jc w:val="center"/>
        <w:rPr>
          <w:rFonts w:asciiTheme="minorHAnsi" w:hAnsiTheme="minorHAnsi" w:cstheme="minorHAnsi"/>
          <w:lang w:eastAsia="de-DE"/>
        </w:rPr>
      </w:pPr>
      <w:bookmarkStart w:id="0" w:name="_Ref97552129"/>
      <w:r>
        <w:t xml:space="preserve">Table </w:t>
      </w:r>
      <w:r>
        <w:fldChar w:fldCharType="begin"/>
      </w:r>
      <w:r>
        <w:instrText xml:space="preserve"> SEQ Table \* ARABIC </w:instrText>
      </w:r>
      <w:r>
        <w:fldChar w:fldCharType="separate"/>
      </w:r>
      <w:r>
        <w:rPr>
          <w:noProof/>
        </w:rPr>
        <w:t>1</w:t>
      </w:r>
      <w:r>
        <w:fldChar w:fldCharType="end"/>
      </w:r>
      <w:bookmarkEnd w:id="0"/>
      <w:r>
        <w:t xml:space="preserve"> Proposed Definitions</w:t>
      </w:r>
    </w:p>
    <w:tbl>
      <w:tblPr>
        <w:tblStyle w:val="TableGrid"/>
        <w:tblpPr w:leftFromText="141" w:rightFromText="141" w:vertAnchor="text" w:horzAnchor="margin" w:tblpY="30"/>
        <w:tblW w:w="10060" w:type="dxa"/>
        <w:tblLayout w:type="fixed"/>
        <w:tblCellMar>
          <w:left w:w="28" w:type="dxa"/>
          <w:right w:w="28" w:type="dxa"/>
        </w:tblCellMar>
        <w:tblLook w:val="04A0" w:firstRow="1" w:lastRow="0" w:firstColumn="1" w:lastColumn="0" w:noHBand="0" w:noVBand="1"/>
      </w:tblPr>
      <w:tblGrid>
        <w:gridCol w:w="3353"/>
        <w:gridCol w:w="3163"/>
        <w:gridCol w:w="3544"/>
      </w:tblGrid>
      <w:tr w:rsidR="009F0FD2" w14:paraId="150554C8" w14:textId="77777777">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8AF43" w14:textId="77777777" w:rsidR="009F0FD2" w:rsidRDefault="0061373F">
            <w:pPr>
              <w:shd w:val="clear" w:color="auto" w:fill="FFFFFF"/>
              <w:spacing w:after="120" w:line="216" w:lineRule="atLeast"/>
              <w:ind w:left="117"/>
              <w:rPr>
                <w:rStyle w:val="Hyperlink"/>
                <w:rFonts w:asciiTheme="minorHAnsi" w:hAnsiTheme="minorHAnsi" w:cstheme="minorHAnsi"/>
                <w:b/>
                <w:i/>
                <w:iCs/>
                <w:color w:val="000000" w:themeColor="text1"/>
                <w:sz w:val="18"/>
                <w:szCs w:val="18"/>
              </w:rPr>
            </w:pPr>
            <w:r>
              <w:rPr>
                <w:rStyle w:val="Hyperlink"/>
                <w:rFonts w:asciiTheme="minorHAnsi" w:hAnsiTheme="minorHAnsi" w:cstheme="minorHAnsi"/>
                <w:b/>
                <w:color w:val="000000" w:themeColor="text1"/>
              </w:rPr>
              <w:t>Old Definition</w:t>
            </w:r>
          </w:p>
        </w:tc>
        <w:tc>
          <w:tcPr>
            <w:tcW w:w="3163" w:type="dxa"/>
            <w:tcBorders>
              <w:top w:val="single" w:sz="4" w:space="0" w:color="auto"/>
              <w:left w:val="single" w:sz="4" w:space="0" w:color="auto"/>
              <w:bottom w:val="single" w:sz="4" w:space="0" w:color="auto"/>
              <w:right w:val="single" w:sz="4" w:space="0" w:color="auto"/>
            </w:tcBorders>
            <w:shd w:val="clear" w:color="auto" w:fill="FFFFFF" w:themeFill="background1"/>
          </w:tcPr>
          <w:p w14:paraId="56E885B7" w14:textId="77777777" w:rsidR="009F0FD2" w:rsidRDefault="0061373F">
            <w:pPr>
              <w:shd w:val="clear" w:color="auto" w:fill="FFFFFF"/>
              <w:spacing w:after="120" w:line="216" w:lineRule="atLeast"/>
              <w:ind w:left="117"/>
              <w:rPr>
                <w:rStyle w:val="Hyperlink"/>
                <w:b/>
                <w:i/>
                <w:iCs/>
                <w:color w:val="44546A" w:themeColor="text2"/>
                <w:sz w:val="18"/>
                <w:szCs w:val="18"/>
              </w:rPr>
            </w:pPr>
            <w:r>
              <w:rPr>
                <w:rStyle w:val="Hyperlink"/>
                <w:rFonts w:asciiTheme="minorHAnsi" w:hAnsiTheme="minorHAnsi" w:cstheme="minorHAnsi"/>
                <w:b/>
                <w:color w:val="000000" w:themeColor="text1"/>
              </w:rPr>
              <w:t>Proposed Definition by ARM</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tcPr>
          <w:p w14:paraId="315E984B" w14:textId="77777777" w:rsidR="009F0FD2" w:rsidRPr="004C7BEE" w:rsidRDefault="0061373F">
            <w:pPr>
              <w:shd w:val="clear" w:color="auto" w:fill="FFFFFF"/>
              <w:spacing w:after="120" w:line="216" w:lineRule="atLeast"/>
              <w:ind w:left="117"/>
              <w:rPr>
                <w:rStyle w:val="Hyperlink"/>
                <w:rFonts w:asciiTheme="minorHAnsi" w:hAnsiTheme="minorHAnsi" w:cstheme="minorHAnsi"/>
                <w:b/>
                <w:i/>
                <w:iCs/>
                <w:sz w:val="18"/>
                <w:szCs w:val="18"/>
              </w:rPr>
            </w:pPr>
            <w:r w:rsidRPr="004C7BEE">
              <w:rPr>
                <w:rStyle w:val="Hyperlink"/>
                <w:rFonts w:asciiTheme="minorHAnsi" w:hAnsiTheme="minorHAnsi" w:cstheme="minorHAnsi"/>
                <w:b/>
              </w:rPr>
              <w:t>Proposed Definition by ENG</w:t>
            </w:r>
          </w:p>
        </w:tc>
      </w:tr>
      <w:tr w:rsidR="009F0FD2" w14:paraId="106ECA5F" w14:textId="77777777">
        <w:tc>
          <w:tcPr>
            <w:tcW w:w="3353" w:type="dxa"/>
            <w:tcBorders>
              <w:top w:val="single" w:sz="4" w:space="0" w:color="auto"/>
              <w:left w:val="single" w:sz="4" w:space="0" w:color="auto"/>
              <w:bottom w:val="single" w:sz="4" w:space="0" w:color="auto"/>
              <w:right w:val="single" w:sz="4" w:space="0" w:color="auto"/>
            </w:tcBorders>
            <w:vAlign w:val="center"/>
          </w:tcPr>
          <w:p w14:paraId="089246D7" w14:textId="77777777" w:rsidR="009F0FD2" w:rsidRDefault="00147113">
            <w:pPr>
              <w:shd w:val="clear" w:color="auto" w:fill="FFFFFF"/>
              <w:spacing w:after="120" w:line="216" w:lineRule="atLeast"/>
              <w:ind w:left="117"/>
              <w:rPr>
                <w:rFonts w:asciiTheme="minorHAnsi" w:hAnsiTheme="minorHAnsi" w:cstheme="minorHAnsi"/>
                <w:color w:val="000000" w:themeColor="text1"/>
              </w:rPr>
            </w:pPr>
            <w:hyperlink r:id="rId11" w:tooltip="Luminous Range" w:history="1">
              <w:r w:rsidR="0061373F">
                <w:rPr>
                  <w:rStyle w:val="Hyperlink"/>
                  <w:rFonts w:asciiTheme="minorHAnsi" w:hAnsiTheme="minorHAnsi" w:cstheme="minorHAnsi"/>
                  <w:color w:val="000000" w:themeColor="text1"/>
                </w:rPr>
                <w:t>Luminous Range</w:t>
              </w:r>
            </w:hyperlink>
          </w:p>
          <w:p w14:paraId="6EB452D6" w14:textId="77777777" w:rsidR="009F0FD2" w:rsidRDefault="0061373F">
            <w:pPr>
              <w:shd w:val="clear" w:color="auto" w:fill="FFFFFF"/>
              <w:spacing w:after="120" w:line="216" w:lineRule="atLeast"/>
              <w:ind w:left="117"/>
            </w:pPr>
            <w:r>
              <w:rPr>
                <w:rStyle w:val="searchmatch"/>
                <w:rFonts w:asciiTheme="minorHAnsi" w:hAnsiTheme="minorHAnsi" w:cstheme="minorHAnsi"/>
                <w:b/>
                <w:bCs/>
                <w:color w:val="000000" w:themeColor="text1"/>
              </w:rPr>
              <w:t>Luminous</w:t>
            </w:r>
            <w:r>
              <w:rPr>
                <w:rFonts w:asciiTheme="minorHAnsi" w:hAnsiTheme="minorHAnsi" w:cstheme="minorHAnsi"/>
                <w:color w:val="000000" w:themeColor="text1"/>
              </w:rPr>
              <w:t> </w:t>
            </w:r>
            <w:r>
              <w:rPr>
                <w:rStyle w:val="searchmatch"/>
                <w:rFonts w:asciiTheme="minorHAnsi" w:hAnsiTheme="minorHAnsi" w:cstheme="minorHAnsi"/>
                <w:b/>
                <w:bCs/>
                <w:color w:val="000000" w:themeColor="text1"/>
              </w:rPr>
              <w:t>Range</w:t>
            </w:r>
            <w:r>
              <w:rPr>
                <w:rFonts w:asciiTheme="minorHAnsi" w:hAnsiTheme="minorHAnsi" w:cstheme="minorHAnsi"/>
                <w:color w:val="000000" w:themeColor="text1"/>
              </w:rPr>
              <w:t> (of a light) The maximum distance at which a light can be seen, as determined by the </w:t>
            </w:r>
            <w:r>
              <w:rPr>
                <w:rStyle w:val="searchmatch"/>
                <w:rFonts w:asciiTheme="minorHAnsi" w:hAnsiTheme="minorHAnsi" w:cstheme="minorHAnsi"/>
                <w:b/>
                <w:bCs/>
                <w:color w:val="000000" w:themeColor="text1"/>
              </w:rPr>
              <w:t>luminous</w:t>
            </w:r>
            <w:r>
              <w:rPr>
                <w:rFonts w:asciiTheme="minorHAnsi" w:hAnsiTheme="minorHAnsi" w:cstheme="minorHAnsi"/>
                <w:color w:val="000000" w:themeColor="text1"/>
              </w:rPr>
              <w:t xml:space="preserve"> intensity of the light, the atmospheric transmission factor and the </w:t>
            </w:r>
            <w:proofErr w:type="spellStart"/>
            <w:r>
              <w:rPr>
                <w:rFonts w:asciiTheme="minorHAnsi" w:hAnsiTheme="minorHAnsi" w:cstheme="minorHAnsi"/>
                <w:color w:val="000000" w:themeColor="text1"/>
              </w:rPr>
              <w:t>thresho</w:t>
            </w:r>
            <w:proofErr w:type="spellEnd"/>
            <w:r>
              <w:rPr>
                <w:rFonts w:asciiTheme="minorHAnsi" w:hAnsiTheme="minorHAnsi" w:cstheme="minorHAnsi"/>
                <w:color w:val="000000" w:themeColor="text1"/>
              </w:rPr>
              <w:t>….</w:t>
            </w:r>
          </w:p>
        </w:tc>
        <w:tc>
          <w:tcPr>
            <w:tcW w:w="3163" w:type="dxa"/>
            <w:tcBorders>
              <w:top w:val="single" w:sz="4" w:space="0" w:color="auto"/>
              <w:left w:val="single" w:sz="4" w:space="0" w:color="auto"/>
              <w:bottom w:val="single" w:sz="4" w:space="0" w:color="auto"/>
              <w:right w:val="single" w:sz="4" w:space="0" w:color="auto"/>
            </w:tcBorders>
          </w:tcPr>
          <w:p w14:paraId="16DAC671" w14:textId="77777777" w:rsidR="009F0FD2" w:rsidRDefault="0061373F">
            <w:pPr>
              <w:autoSpaceDE w:val="0"/>
              <w:autoSpaceDN w:val="0"/>
              <w:adjustRightInd w:val="0"/>
              <w:spacing w:after="120" w:line="216" w:lineRule="atLeast"/>
              <w:ind w:left="117"/>
              <w:rPr>
                <w:rFonts w:asciiTheme="minorHAnsi" w:hAnsiTheme="minorHAnsi" w:cstheme="minorHAnsi"/>
                <w:b/>
                <w:bCs/>
                <w:color w:val="000000" w:themeColor="text1"/>
              </w:rPr>
            </w:pPr>
            <w:r>
              <w:rPr>
                <w:rFonts w:asciiTheme="minorHAnsi" w:hAnsiTheme="minorHAnsi" w:cstheme="minorHAnsi"/>
                <w:b/>
                <w:bCs/>
                <w:color w:val="000000" w:themeColor="text1"/>
              </w:rPr>
              <w:t>Luminous range (of a light)</w:t>
            </w:r>
          </w:p>
          <w:p w14:paraId="61FBA9B3" w14:textId="77777777" w:rsidR="009F0FD2" w:rsidRDefault="0061373F">
            <w:pPr>
              <w:autoSpaceDE w:val="0"/>
              <w:autoSpaceDN w:val="0"/>
              <w:adjustRightInd w:val="0"/>
              <w:spacing w:after="120" w:line="216" w:lineRule="atLeast"/>
              <w:ind w:left="117"/>
              <w:rPr>
                <w:rFonts w:asciiTheme="minorHAnsi" w:hAnsiTheme="minorHAnsi" w:cstheme="minorHAnsi"/>
                <w:b/>
                <w:bCs/>
                <w:color w:val="000000" w:themeColor="text1"/>
              </w:rPr>
            </w:pPr>
            <w:r>
              <w:rPr>
                <w:rFonts w:asciiTheme="minorHAnsi" w:hAnsiTheme="minorHAnsi" w:cstheme="minorHAnsi"/>
                <w:color w:val="000000" w:themeColor="text1"/>
                <w:shd w:val="clear" w:color="auto" w:fill="FFFFFF"/>
              </w:rPr>
              <w:t>The maximum distance at which a light can be seen, as determined by the luminous intensity of the light, the atmospheric transmission factor and the threshold of illuminance on the eye of the observer</w:t>
            </w:r>
          </w:p>
        </w:tc>
        <w:tc>
          <w:tcPr>
            <w:tcW w:w="3544" w:type="dxa"/>
            <w:tcBorders>
              <w:top w:val="single" w:sz="4" w:space="0" w:color="auto"/>
              <w:left w:val="single" w:sz="4" w:space="0" w:color="auto"/>
              <w:bottom w:val="single" w:sz="4" w:space="0" w:color="auto"/>
              <w:right w:val="single" w:sz="4" w:space="0" w:color="auto"/>
            </w:tcBorders>
          </w:tcPr>
          <w:p w14:paraId="0EAA3144" w14:textId="77777777" w:rsidR="009F0FD2" w:rsidRPr="004C7BEE" w:rsidRDefault="0061373F">
            <w:pPr>
              <w:autoSpaceDE w:val="0"/>
              <w:autoSpaceDN w:val="0"/>
              <w:adjustRightInd w:val="0"/>
              <w:spacing w:after="120" w:line="216" w:lineRule="atLeast"/>
              <w:ind w:left="117"/>
              <w:rPr>
                <w:rFonts w:asciiTheme="minorHAnsi" w:hAnsiTheme="minorHAnsi" w:cstheme="minorHAnsi"/>
                <w:b/>
                <w:bCs/>
              </w:rPr>
            </w:pPr>
            <w:r w:rsidRPr="004C7BEE">
              <w:rPr>
                <w:rFonts w:asciiTheme="minorHAnsi" w:hAnsiTheme="minorHAnsi" w:cstheme="minorHAnsi"/>
                <w:b/>
                <w:bCs/>
              </w:rPr>
              <w:t>Luminous range (of a light)</w:t>
            </w:r>
          </w:p>
          <w:p w14:paraId="1004C266" w14:textId="381B084F" w:rsidR="009F0FD2" w:rsidRPr="004C7BEE" w:rsidRDefault="0061373F">
            <w:pPr>
              <w:autoSpaceDE w:val="0"/>
              <w:autoSpaceDN w:val="0"/>
              <w:adjustRightInd w:val="0"/>
              <w:spacing w:after="120" w:line="216" w:lineRule="atLeast"/>
              <w:ind w:left="117"/>
              <w:rPr>
                <w:rFonts w:asciiTheme="minorHAnsi" w:hAnsiTheme="minorHAnsi" w:cstheme="minorHAnsi"/>
                <w:shd w:val="clear" w:color="auto" w:fill="FFFFFF"/>
              </w:rPr>
            </w:pPr>
            <w:r w:rsidRPr="004C7BEE">
              <w:rPr>
                <w:rFonts w:asciiTheme="minorHAnsi" w:hAnsiTheme="minorHAnsi" w:cstheme="minorHAnsi"/>
                <w:shd w:val="clear" w:color="auto" w:fill="FFFFFF"/>
              </w:rPr>
              <w:t>The maximum distance at which a light can be seen in a homogenous atmosphere, as determined by the luminous intensity of the light, the meteorological visibility at the time of observation and the required illuminance at the eye of the observer.</w:t>
            </w:r>
          </w:p>
          <w:p w14:paraId="3230AD22" w14:textId="02A506DB" w:rsidR="008F162A" w:rsidRPr="004C7BEE" w:rsidRDefault="008F162A">
            <w:pPr>
              <w:autoSpaceDE w:val="0"/>
              <w:autoSpaceDN w:val="0"/>
              <w:adjustRightInd w:val="0"/>
              <w:spacing w:after="120" w:line="216" w:lineRule="atLeast"/>
              <w:ind w:left="117"/>
              <w:rPr>
                <w:rFonts w:asciiTheme="minorHAnsi" w:hAnsiTheme="minorHAnsi" w:cstheme="minorHAnsi"/>
                <w:b/>
                <w:bCs/>
              </w:rPr>
            </w:pPr>
          </w:p>
        </w:tc>
      </w:tr>
      <w:tr w:rsidR="009F0FD2" w14:paraId="4878293C" w14:textId="77777777">
        <w:tc>
          <w:tcPr>
            <w:tcW w:w="3353" w:type="dxa"/>
            <w:tcBorders>
              <w:top w:val="single" w:sz="4" w:space="0" w:color="auto"/>
              <w:left w:val="single" w:sz="4" w:space="0" w:color="auto"/>
              <w:bottom w:val="single" w:sz="4" w:space="0" w:color="auto"/>
              <w:right w:val="single" w:sz="4" w:space="0" w:color="auto"/>
            </w:tcBorders>
            <w:vAlign w:val="center"/>
          </w:tcPr>
          <w:p w14:paraId="055649E6" w14:textId="77777777" w:rsidR="009F0FD2" w:rsidRDefault="0061373F">
            <w:pPr>
              <w:pStyle w:val="BodyText"/>
              <w:ind w:left="117"/>
              <w:rPr>
                <w:shd w:val="clear" w:color="auto" w:fill="FFFFFF"/>
              </w:rPr>
            </w:pPr>
            <w:r>
              <w:rPr>
                <w:rStyle w:val="searchmatch"/>
                <w:rFonts w:asciiTheme="minorHAnsi" w:hAnsiTheme="minorHAnsi" w:cstheme="minorHAnsi"/>
                <w:b/>
                <w:bCs/>
                <w:color w:val="000000" w:themeColor="text1"/>
                <w:shd w:val="clear" w:color="auto" w:fill="FFFFFF"/>
              </w:rPr>
              <w:t>Nominal</w:t>
            </w:r>
            <w:r>
              <w:rPr>
                <w:shd w:val="clear" w:color="auto" w:fill="FFFFFF"/>
              </w:rPr>
              <w:t> </w:t>
            </w:r>
            <w:r>
              <w:rPr>
                <w:rStyle w:val="searchmatch"/>
                <w:rFonts w:asciiTheme="minorHAnsi" w:hAnsiTheme="minorHAnsi" w:cstheme="minorHAnsi"/>
                <w:b/>
                <w:bCs/>
                <w:color w:val="000000" w:themeColor="text1"/>
                <w:shd w:val="clear" w:color="auto" w:fill="FFFFFF"/>
              </w:rPr>
              <w:t>Range</w:t>
            </w:r>
            <w:r>
              <w:rPr>
                <w:shd w:val="clear" w:color="auto" w:fill="FFFFFF"/>
              </w:rPr>
              <w:t> (of a light) ...nominal </w:t>
            </w:r>
            <w:r>
              <w:rPr>
                <w:rStyle w:val="searchmatch"/>
                <w:rFonts w:asciiTheme="minorHAnsi" w:hAnsiTheme="minorHAnsi" w:cstheme="minorHAnsi"/>
                <w:b/>
                <w:bCs/>
                <w:color w:val="000000" w:themeColor="text1"/>
                <w:shd w:val="clear" w:color="auto" w:fill="FFFFFF"/>
              </w:rPr>
              <w:t>range</w:t>
            </w:r>
            <w:r>
              <w:rPr>
                <w:shd w:val="clear" w:color="auto" w:fill="FFFFFF"/>
              </w:rPr>
              <w:t> of a light used as an aid to marine navigation is its luminous </w:t>
            </w:r>
            <w:r>
              <w:rPr>
                <w:rStyle w:val="searchmatch"/>
                <w:rFonts w:asciiTheme="minorHAnsi" w:hAnsiTheme="minorHAnsi" w:cstheme="minorHAnsi"/>
                <w:b/>
                <w:bCs/>
                <w:color w:val="000000" w:themeColor="text1"/>
                <w:shd w:val="clear" w:color="auto" w:fill="FFFFFF"/>
              </w:rPr>
              <w:t>range</w:t>
            </w:r>
            <w:r>
              <w:rPr>
                <w:shd w:val="clear" w:color="auto" w:fill="FFFFFF"/>
              </w:rPr>
              <w:t> in a homogeneous atmosphere in which the meteorological visibility …</w:t>
            </w:r>
          </w:p>
          <w:p w14:paraId="5A5DB68C" w14:textId="77777777" w:rsidR="009F0FD2" w:rsidRDefault="009F0FD2">
            <w:pPr>
              <w:pStyle w:val="BodyText"/>
              <w:ind w:left="117"/>
            </w:pPr>
          </w:p>
        </w:tc>
        <w:tc>
          <w:tcPr>
            <w:tcW w:w="3163" w:type="dxa"/>
            <w:tcBorders>
              <w:top w:val="single" w:sz="4" w:space="0" w:color="auto"/>
              <w:left w:val="single" w:sz="4" w:space="0" w:color="auto"/>
              <w:bottom w:val="single" w:sz="4" w:space="0" w:color="auto"/>
              <w:right w:val="single" w:sz="4" w:space="0" w:color="auto"/>
            </w:tcBorders>
          </w:tcPr>
          <w:p w14:paraId="58310953" w14:textId="77777777" w:rsidR="009F0FD2" w:rsidRDefault="0061373F">
            <w:pPr>
              <w:autoSpaceDE w:val="0"/>
              <w:autoSpaceDN w:val="0"/>
              <w:adjustRightInd w:val="0"/>
              <w:spacing w:after="120" w:line="216" w:lineRule="atLeast"/>
              <w:ind w:left="117"/>
              <w:rPr>
                <w:rFonts w:asciiTheme="minorHAnsi" w:hAnsiTheme="minorHAnsi" w:cstheme="minorHAnsi"/>
                <w:b/>
                <w:bCs/>
                <w:color w:val="000000" w:themeColor="text1"/>
              </w:rPr>
            </w:pPr>
            <w:r>
              <w:rPr>
                <w:rFonts w:asciiTheme="minorHAnsi" w:hAnsiTheme="minorHAnsi" w:cstheme="minorHAnsi"/>
                <w:b/>
                <w:bCs/>
                <w:color w:val="000000" w:themeColor="text1"/>
              </w:rPr>
              <w:lastRenderedPageBreak/>
              <w:t>Nominal range</w:t>
            </w:r>
          </w:p>
          <w:p w14:paraId="6C3FA7A4" w14:textId="77777777" w:rsidR="009F0FD2" w:rsidRDefault="0061373F">
            <w:pPr>
              <w:autoSpaceDE w:val="0"/>
              <w:autoSpaceDN w:val="0"/>
              <w:adjustRightInd w:val="0"/>
              <w:spacing w:after="120" w:line="216" w:lineRule="atLeast"/>
              <w:ind w:left="117"/>
              <w:rPr>
                <w:rFonts w:asciiTheme="minorHAnsi" w:hAnsiTheme="minorHAnsi" w:cstheme="minorHAnsi"/>
                <w:b/>
                <w:bCs/>
                <w:color w:val="000000" w:themeColor="text1"/>
              </w:rPr>
            </w:pPr>
            <w:r>
              <w:rPr>
                <w:rFonts w:asciiTheme="minorHAnsi" w:hAnsiTheme="minorHAnsi" w:cstheme="minorHAnsi"/>
                <w:color w:val="000000" w:themeColor="text1"/>
              </w:rPr>
              <w:t xml:space="preserve">The nominal range of a light used as a marine aid to navigation is its luminous range in a homogeneous atmosphere in </w:t>
            </w:r>
            <w:r>
              <w:rPr>
                <w:rFonts w:asciiTheme="minorHAnsi" w:hAnsiTheme="minorHAnsi" w:cstheme="minorHAnsi"/>
                <w:color w:val="000000" w:themeColor="text1"/>
              </w:rPr>
              <w:lastRenderedPageBreak/>
              <w:t>which the meteorological visibility is 10 NM</w:t>
            </w:r>
          </w:p>
        </w:tc>
        <w:tc>
          <w:tcPr>
            <w:tcW w:w="3544" w:type="dxa"/>
            <w:tcBorders>
              <w:top w:val="single" w:sz="4" w:space="0" w:color="auto"/>
              <w:left w:val="single" w:sz="4" w:space="0" w:color="auto"/>
              <w:bottom w:val="single" w:sz="4" w:space="0" w:color="auto"/>
              <w:right w:val="single" w:sz="4" w:space="0" w:color="auto"/>
            </w:tcBorders>
          </w:tcPr>
          <w:p w14:paraId="610F2D65" w14:textId="77777777" w:rsidR="009F0FD2" w:rsidRPr="004C7BEE" w:rsidRDefault="0061373F">
            <w:pPr>
              <w:autoSpaceDE w:val="0"/>
              <w:autoSpaceDN w:val="0"/>
              <w:adjustRightInd w:val="0"/>
              <w:spacing w:after="120" w:line="216" w:lineRule="atLeast"/>
              <w:ind w:left="117"/>
              <w:rPr>
                <w:rFonts w:asciiTheme="minorHAnsi" w:hAnsiTheme="minorHAnsi" w:cstheme="minorHAnsi"/>
                <w:b/>
                <w:bCs/>
              </w:rPr>
            </w:pPr>
            <w:r w:rsidRPr="004C7BEE">
              <w:rPr>
                <w:rFonts w:asciiTheme="minorHAnsi" w:hAnsiTheme="minorHAnsi" w:cstheme="minorHAnsi"/>
                <w:b/>
                <w:bCs/>
              </w:rPr>
              <w:lastRenderedPageBreak/>
              <w:t>Nominal range</w:t>
            </w:r>
          </w:p>
          <w:p w14:paraId="617D0F8A" w14:textId="2BEC9BE8" w:rsidR="0035016A" w:rsidRPr="004C7BEE" w:rsidRDefault="0061373F" w:rsidP="004C7BEE">
            <w:pPr>
              <w:rPr>
                <w:b/>
                <w:bCs/>
              </w:rPr>
            </w:pPr>
            <w:r w:rsidRPr="004C7BEE">
              <w:rPr>
                <w:rFonts w:asciiTheme="minorHAnsi" w:hAnsiTheme="minorHAnsi" w:cstheme="minorHAnsi"/>
                <w:shd w:val="clear" w:color="auto" w:fill="FFFFFF"/>
              </w:rPr>
              <w:t xml:space="preserve">The nominal range of a light used as a marine aid to navigation is its luminous range when the meteorological visibility is 10 M and </w:t>
            </w:r>
            <w:r w:rsidRPr="004C7BEE">
              <w:rPr>
                <w:rFonts w:asciiTheme="minorHAnsi" w:hAnsiTheme="minorHAnsi" w:cstheme="minorHAnsi"/>
                <w:shd w:val="clear" w:color="auto" w:fill="FFFFFF"/>
              </w:rPr>
              <w:lastRenderedPageBreak/>
              <w:t>the illuminance at the eye of the observer is</w:t>
            </w:r>
          </w:p>
          <w:p w14:paraId="347B705B" w14:textId="2F25ECF9" w:rsidR="009F0FD2" w:rsidRPr="004C7BEE" w:rsidRDefault="0061373F">
            <w:pPr>
              <w:pStyle w:val="ListParagraph"/>
              <w:numPr>
                <w:ilvl w:val="0"/>
                <w:numId w:val="28"/>
              </w:numPr>
              <w:autoSpaceDE w:val="0"/>
              <w:autoSpaceDN w:val="0"/>
              <w:adjustRightInd w:val="0"/>
              <w:spacing w:after="120" w:line="216" w:lineRule="atLeast"/>
              <w:rPr>
                <w:rFonts w:asciiTheme="minorHAnsi" w:hAnsiTheme="minorHAnsi" w:cstheme="minorHAnsi"/>
                <w:b/>
                <w:bCs/>
              </w:rPr>
            </w:pPr>
            <w:r w:rsidRPr="004C7BEE">
              <w:rPr>
                <w:rFonts w:asciiTheme="minorHAnsi" w:hAnsiTheme="minorHAnsi" w:cstheme="minorHAnsi"/>
              </w:rPr>
              <w:t>0.2 × 10</w:t>
            </w:r>
            <w:r w:rsidRPr="004C7BEE">
              <w:rPr>
                <w:rFonts w:asciiTheme="minorHAnsi" w:hAnsiTheme="minorHAnsi" w:cstheme="minorHAnsi"/>
                <w:vertAlign w:val="superscript"/>
              </w:rPr>
              <w:t>‐7</w:t>
            </w:r>
            <w:r w:rsidRPr="004C7BEE">
              <w:rPr>
                <w:rFonts w:asciiTheme="minorHAnsi" w:hAnsiTheme="minorHAnsi" w:cstheme="minorHAnsi"/>
              </w:rPr>
              <w:t xml:space="preserve"> lx for night time </w:t>
            </w:r>
            <w:r w:rsidR="008952BE" w:rsidRPr="004C7BEE">
              <w:rPr>
                <w:rFonts w:asciiTheme="minorHAnsi" w:hAnsiTheme="minorHAnsi" w:cstheme="minorHAnsi"/>
              </w:rPr>
              <w:t>observation</w:t>
            </w:r>
            <w:r w:rsidRPr="004C7BEE">
              <w:rPr>
                <w:rFonts w:asciiTheme="minorHAnsi" w:hAnsiTheme="minorHAnsi" w:cstheme="minorHAnsi"/>
              </w:rPr>
              <w:t>.</w:t>
            </w:r>
          </w:p>
          <w:p w14:paraId="7E922A92" w14:textId="033FC970" w:rsidR="009F0FD2" w:rsidRPr="004C7BEE" w:rsidRDefault="0061373F">
            <w:pPr>
              <w:pStyle w:val="ListParagraph"/>
              <w:numPr>
                <w:ilvl w:val="0"/>
                <w:numId w:val="28"/>
              </w:numPr>
              <w:autoSpaceDE w:val="0"/>
              <w:autoSpaceDN w:val="0"/>
              <w:adjustRightInd w:val="0"/>
              <w:spacing w:after="120" w:line="216" w:lineRule="atLeast"/>
              <w:rPr>
                <w:rFonts w:asciiTheme="minorHAnsi" w:hAnsiTheme="minorHAnsi" w:cstheme="minorHAnsi"/>
                <w:b/>
                <w:bCs/>
              </w:rPr>
            </w:pPr>
            <w:r w:rsidRPr="004C7BEE">
              <w:rPr>
                <w:rFonts w:asciiTheme="minorHAnsi" w:hAnsiTheme="minorHAnsi" w:cstheme="minorHAnsi"/>
              </w:rPr>
              <w:t>1 × 10</w:t>
            </w:r>
            <w:r w:rsidRPr="004C7BEE">
              <w:rPr>
                <w:rFonts w:asciiTheme="minorHAnsi" w:hAnsiTheme="minorHAnsi" w:cstheme="minorHAnsi"/>
                <w:vertAlign w:val="superscript"/>
              </w:rPr>
              <w:t>‐3</w:t>
            </w:r>
            <w:r w:rsidRPr="004C7BEE">
              <w:rPr>
                <w:rFonts w:asciiTheme="minorHAnsi" w:hAnsiTheme="minorHAnsi" w:cstheme="minorHAnsi"/>
              </w:rPr>
              <w:t xml:space="preserve"> lx for day time </w:t>
            </w:r>
            <w:r w:rsidR="008952BE" w:rsidRPr="004C7BEE">
              <w:rPr>
                <w:rFonts w:asciiTheme="minorHAnsi" w:hAnsiTheme="minorHAnsi" w:cstheme="minorHAnsi"/>
              </w:rPr>
              <w:t>observation</w:t>
            </w:r>
            <w:r w:rsidRPr="004C7BEE">
              <w:rPr>
                <w:rFonts w:asciiTheme="minorHAnsi" w:hAnsiTheme="minorHAnsi" w:cstheme="minorHAnsi"/>
              </w:rPr>
              <w:t>.</w:t>
            </w:r>
          </w:p>
        </w:tc>
      </w:tr>
    </w:tbl>
    <w:p w14:paraId="44D2C8ED" w14:textId="77777777" w:rsidR="009F0FD2" w:rsidRDefault="009F0FD2">
      <w:pPr>
        <w:rPr>
          <w:rFonts w:asciiTheme="minorHAnsi" w:hAnsiTheme="minorHAnsi" w:cstheme="minorHAnsi"/>
          <w:lang w:eastAsia="de-DE"/>
        </w:rPr>
      </w:pPr>
    </w:p>
    <w:p w14:paraId="72EB25C7" w14:textId="77777777" w:rsidR="009F0FD2" w:rsidRDefault="0061373F">
      <w:pPr>
        <w:pStyle w:val="Heading2"/>
      </w:pPr>
      <w:r>
        <w:t>Replace sea mile with nautical mile</w:t>
      </w:r>
    </w:p>
    <w:p w14:paraId="4215363C" w14:textId="77777777" w:rsidR="009F0FD2" w:rsidRDefault="0061373F">
      <w:pPr>
        <w:pStyle w:val="BodyText"/>
      </w:pPr>
      <w:r>
        <w:t>There are still some definitions in IALA Dictionary that use 'sea mile' instead of 'nautical mile'. ENG proposes to replace the word 'sea mile' with 'nautical mile' in IALA Dictionary and in all other IALA documents.</w:t>
      </w:r>
    </w:p>
    <w:p w14:paraId="0372D7B0" w14:textId="17D9E4A8" w:rsidR="009F0FD2" w:rsidRDefault="0061373F">
      <w:pPr>
        <w:rPr>
          <w:rFonts w:asciiTheme="minorHAnsi" w:hAnsiTheme="minorHAnsi" w:cstheme="minorHAnsi"/>
          <w:lang w:eastAsia="de-DE"/>
        </w:rPr>
      </w:pPr>
      <w:r w:rsidRPr="008952BE">
        <w:rPr>
          <w:rFonts w:asciiTheme="minorHAnsi" w:hAnsiTheme="minorHAnsi" w:cstheme="minorHAnsi"/>
          <w:lang w:eastAsia="de-DE"/>
        </w:rPr>
        <w:t xml:space="preserve">Background:  The sea mile is an obsolete unit. </w:t>
      </w:r>
      <w:r w:rsidR="006120C2" w:rsidRPr="008952BE">
        <w:rPr>
          <w:rFonts w:asciiTheme="minorHAnsi" w:hAnsiTheme="minorHAnsi" w:cstheme="minorHAnsi"/>
          <w:lang w:eastAsia="de-DE"/>
        </w:rPr>
        <w:t>Instead,</w:t>
      </w:r>
      <w:r w:rsidR="008952BE">
        <w:rPr>
          <w:rFonts w:asciiTheme="minorHAnsi" w:hAnsiTheme="minorHAnsi" w:cstheme="minorHAnsi"/>
          <w:lang w:eastAsia="de-DE"/>
        </w:rPr>
        <w:t xml:space="preserve"> a</w:t>
      </w:r>
      <w:r w:rsidRPr="008952BE">
        <w:rPr>
          <w:rFonts w:asciiTheme="minorHAnsi" w:hAnsiTheme="minorHAnsi" w:cstheme="minorHAnsi"/>
          <w:lang w:eastAsia="de-DE"/>
        </w:rPr>
        <w:t xml:space="preserve"> nautical mile had been defined at the first International Hydrographic Conference held at Monaco in 1929 with a value of exactly 1852 m. The old word 'sea mile' has already been replaced with nautical mile by IALA, when E-200 Part 2 was published in 2008.</w:t>
      </w:r>
      <w:r>
        <w:rPr>
          <w:rFonts w:asciiTheme="minorHAnsi" w:hAnsiTheme="minorHAnsi" w:cstheme="minorHAnsi"/>
          <w:lang w:eastAsia="de-DE"/>
        </w:rPr>
        <w:t xml:space="preserve"> </w:t>
      </w:r>
    </w:p>
    <w:p w14:paraId="67C924F8" w14:textId="77777777" w:rsidR="009F0FD2" w:rsidRDefault="009F0FD2">
      <w:pPr>
        <w:rPr>
          <w:rFonts w:asciiTheme="minorHAnsi" w:hAnsiTheme="minorHAnsi" w:cstheme="minorHAnsi"/>
          <w:lang w:eastAsia="de-DE"/>
        </w:rPr>
      </w:pPr>
    </w:p>
    <w:p w14:paraId="2A9C3A7A" w14:textId="6F175391" w:rsidR="009F0FD2" w:rsidRDefault="0061373F">
      <w:pPr>
        <w:rPr>
          <w:rFonts w:asciiTheme="minorHAnsi" w:hAnsiTheme="minorHAnsi" w:cstheme="minorHAnsi"/>
          <w:lang w:eastAsia="de-DE"/>
        </w:rPr>
      </w:pPr>
      <w:r>
        <w:rPr>
          <w:rFonts w:asciiTheme="minorHAnsi" w:hAnsiTheme="minorHAnsi" w:cstheme="minorHAnsi"/>
          <w:lang w:eastAsia="de-DE"/>
        </w:rPr>
        <w:t>Extract from E-200-2 (2008):</w:t>
      </w:r>
    </w:p>
    <w:p w14:paraId="0468D6EE" w14:textId="7CC6252D" w:rsidR="009F0FD2" w:rsidRDefault="0061373F">
      <w:pPr>
        <w:rPr>
          <w:rFonts w:asciiTheme="minorHAnsi" w:hAnsiTheme="minorHAnsi" w:cstheme="minorHAnsi"/>
          <w:lang w:eastAsia="de-DE"/>
        </w:rPr>
      </w:pPr>
      <w:r>
        <w:rPr>
          <w:noProof/>
          <w:lang w:val="de-DE" w:eastAsia="de-DE"/>
        </w:rPr>
        <w:drawing>
          <wp:inline distT="0" distB="0" distL="0" distR="0" wp14:anchorId="5D08C977" wp14:editId="3525BFAF">
            <wp:extent cx="5468816" cy="1020846"/>
            <wp:effectExtent l="0" t="0" r="0" b="8255"/>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73649" cy="1021748"/>
                    </a:xfrm>
                    <a:prstGeom prst="rect">
                      <a:avLst/>
                    </a:prstGeom>
                  </pic:spPr>
                </pic:pic>
              </a:graphicData>
            </a:graphic>
          </wp:inline>
        </w:drawing>
      </w:r>
    </w:p>
    <w:p w14:paraId="450A1D23" w14:textId="77777777" w:rsidR="009F0FD2" w:rsidRDefault="009F0FD2">
      <w:pPr>
        <w:rPr>
          <w:rFonts w:asciiTheme="minorHAnsi" w:hAnsiTheme="minorHAnsi" w:cstheme="minorHAnsi"/>
          <w:lang w:eastAsia="de-DE"/>
        </w:rPr>
      </w:pPr>
    </w:p>
    <w:p w14:paraId="300C95CB" w14:textId="77777777" w:rsidR="009F0FD2" w:rsidRDefault="0061373F">
      <w:pPr>
        <w:pStyle w:val="Heading2"/>
      </w:pPr>
      <w:r>
        <w:t>Give a recommendation how to abbreviate nautical mile in IALA documents.</w:t>
      </w:r>
    </w:p>
    <w:p w14:paraId="10C84A89" w14:textId="1DDF32CB" w:rsidR="009F0FD2" w:rsidRDefault="0061373F">
      <w:pPr>
        <w:rPr>
          <w:rFonts w:asciiTheme="minorHAnsi" w:hAnsiTheme="minorHAnsi" w:cstheme="minorHAnsi"/>
          <w:lang w:eastAsia="de-DE"/>
        </w:rPr>
      </w:pPr>
      <w:r>
        <w:rPr>
          <w:rFonts w:asciiTheme="minorHAnsi" w:hAnsiTheme="minorHAnsi" w:cstheme="minorHAnsi"/>
          <w:lang w:eastAsia="de-DE"/>
        </w:rPr>
        <w:t>Background: Nautical mile is abbreviate</w:t>
      </w:r>
      <w:r w:rsidR="005B0E79" w:rsidRPr="004C7BEE">
        <w:rPr>
          <w:rFonts w:asciiTheme="minorHAnsi" w:hAnsiTheme="minorHAnsi" w:cstheme="minorHAnsi"/>
          <w:lang w:eastAsia="de-DE"/>
        </w:rPr>
        <w:t xml:space="preserve">d </w:t>
      </w:r>
      <w:r>
        <w:rPr>
          <w:rFonts w:asciiTheme="minorHAnsi" w:hAnsiTheme="minorHAnsi" w:cstheme="minorHAnsi"/>
          <w:lang w:eastAsia="de-DE"/>
        </w:rPr>
        <w:t>in very different ways. There are documents that use 'NM', '</w:t>
      </w:r>
      <w:proofErr w:type="spellStart"/>
      <w:r>
        <w:rPr>
          <w:rFonts w:asciiTheme="minorHAnsi" w:hAnsiTheme="minorHAnsi" w:cstheme="minorHAnsi"/>
          <w:lang w:eastAsia="de-DE"/>
        </w:rPr>
        <w:t>nM</w:t>
      </w:r>
      <w:proofErr w:type="spellEnd"/>
      <w:r>
        <w:rPr>
          <w:rFonts w:asciiTheme="minorHAnsi" w:hAnsiTheme="minorHAnsi" w:cstheme="minorHAnsi"/>
          <w:lang w:eastAsia="de-DE"/>
        </w:rPr>
        <w:t>', 'NMS', '</w:t>
      </w:r>
      <w:proofErr w:type="spellStart"/>
      <w:r>
        <w:rPr>
          <w:rFonts w:asciiTheme="minorHAnsi" w:hAnsiTheme="minorHAnsi" w:cstheme="minorHAnsi"/>
          <w:lang w:eastAsia="de-DE"/>
        </w:rPr>
        <w:t>nmi</w:t>
      </w:r>
      <w:proofErr w:type="spellEnd"/>
      <w:r>
        <w:rPr>
          <w:rFonts w:asciiTheme="minorHAnsi" w:hAnsiTheme="minorHAnsi" w:cstheme="minorHAnsi"/>
          <w:lang w:eastAsia="de-DE"/>
        </w:rPr>
        <w:t xml:space="preserve">' and even 'nm'. IALA should recommend </w:t>
      </w:r>
      <w:r w:rsidR="005B0E79">
        <w:rPr>
          <w:rFonts w:asciiTheme="minorHAnsi" w:hAnsiTheme="minorHAnsi" w:cstheme="minorHAnsi"/>
          <w:lang w:eastAsia="de-DE"/>
        </w:rPr>
        <w:t xml:space="preserve">only </w:t>
      </w:r>
      <w:r>
        <w:rPr>
          <w:rFonts w:asciiTheme="minorHAnsi" w:hAnsiTheme="minorHAnsi" w:cstheme="minorHAnsi"/>
          <w:lang w:eastAsia="de-DE"/>
        </w:rPr>
        <w:t xml:space="preserve">one abbreviation. </w:t>
      </w:r>
    </w:p>
    <w:p w14:paraId="6EE02389" w14:textId="77777777" w:rsidR="009F0FD2" w:rsidRDefault="009F0FD2">
      <w:pPr>
        <w:rPr>
          <w:rFonts w:asciiTheme="minorHAnsi" w:hAnsiTheme="minorHAnsi" w:cstheme="minorHAnsi"/>
          <w:lang w:eastAsia="de-DE"/>
        </w:rPr>
      </w:pPr>
    </w:p>
    <w:p w14:paraId="27C040B2" w14:textId="77777777" w:rsidR="009F0FD2" w:rsidRDefault="0061373F">
      <w:pPr>
        <w:rPr>
          <w:rFonts w:asciiTheme="minorHAnsi" w:hAnsiTheme="minorHAnsi" w:cstheme="minorHAnsi"/>
          <w:lang w:eastAsia="de-DE"/>
        </w:rPr>
      </w:pPr>
      <w:r>
        <w:rPr>
          <w:rFonts w:asciiTheme="minorHAnsi" w:hAnsiTheme="minorHAnsi" w:cstheme="minorHAnsi"/>
          <w:lang w:eastAsia="de-DE"/>
        </w:rPr>
        <w:t>Some considerations:</w:t>
      </w:r>
    </w:p>
    <w:p w14:paraId="09C406E9" w14:textId="2E149864" w:rsidR="009F0FD2" w:rsidRDefault="0061373F">
      <w:pPr>
        <w:pStyle w:val="Bullet1"/>
      </w:pPr>
      <w:r>
        <w:t xml:space="preserve">IHO uses 'M' for at nautical charts and in the list of lights, so 'M' should stay or be mentioned at least. </w:t>
      </w:r>
    </w:p>
    <w:p w14:paraId="6D44CF1C" w14:textId="0488BDE5" w:rsidR="009F0FD2" w:rsidRDefault="0061373F">
      <w:pPr>
        <w:pStyle w:val="Bullet1"/>
        <w:rPr>
          <w:rFonts w:asciiTheme="minorHAnsi" w:hAnsiTheme="minorHAnsi" w:cstheme="minorHAnsi"/>
          <w:lang w:eastAsia="de-DE"/>
        </w:rPr>
      </w:pPr>
      <w:r>
        <w:t>'nm' should not be used, because it is the abbreviation of nanometres as a SI-unit. Nanometres are used to describe the spectrum and colour of a light and may occur in the same equation as the luminous range, when considering the spectral dependence of the meteorological visibility.</w:t>
      </w:r>
    </w:p>
    <w:p w14:paraId="03CA47EE" w14:textId="7BAFAB2D" w:rsidR="009F0FD2" w:rsidRDefault="0061373F">
      <w:pPr>
        <w:pStyle w:val="Bullet1"/>
        <w:rPr>
          <w:rFonts w:asciiTheme="minorHAnsi" w:hAnsiTheme="minorHAnsi" w:cstheme="minorHAnsi"/>
          <w:lang w:eastAsia="de-DE"/>
        </w:rPr>
      </w:pPr>
      <w:r>
        <w:rPr>
          <w:rFonts w:asciiTheme="minorHAnsi" w:hAnsiTheme="minorHAnsi" w:cstheme="minorHAnsi"/>
          <w:lang w:eastAsia="de-DE"/>
        </w:rPr>
        <w:t>NM is an abbreviation for Notices to Mariners in IHO documents and for Admiralty Notices to Mariners.</w:t>
      </w:r>
    </w:p>
    <w:p w14:paraId="1B93BEDA" w14:textId="33C3E33C" w:rsidR="006120C2" w:rsidRDefault="006120C2" w:rsidP="004C7BEE">
      <w:pPr>
        <w:pStyle w:val="Bullet1"/>
        <w:numPr>
          <w:ilvl w:val="0"/>
          <w:numId w:val="0"/>
        </w:numPr>
      </w:pPr>
      <w:r>
        <w:t>The ENG Committee recommends the use of ‘M’ for the nomenclature for nautical miles.</w:t>
      </w:r>
    </w:p>
    <w:p w14:paraId="02363887" w14:textId="77777777" w:rsidR="009F0FD2" w:rsidRDefault="0061373F">
      <w:pPr>
        <w:pStyle w:val="Heading1"/>
      </w:pPr>
      <w:r>
        <w:t>Action requested</w:t>
      </w:r>
    </w:p>
    <w:p w14:paraId="752335F5" w14:textId="1D46E977" w:rsidR="009F0FD2" w:rsidRDefault="0061373F">
      <w:pPr>
        <w:pStyle w:val="BodyText"/>
      </w:pPr>
      <w:r>
        <w:t>Consider updating the definitions and the Dictionary as proposed</w:t>
      </w:r>
      <w:r w:rsidR="006120C2">
        <w:t xml:space="preserve"> and adopting the proposals as laid out in sections 2.2. and 2.3.</w:t>
      </w:r>
    </w:p>
    <w:p w14:paraId="62D9EA92" w14:textId="77777777" w:rsidR="009F0FD2" w:rsidRDefault="009F0FD2">
      <w:pPr>
        <w:pStyle w:val="BodyText"/>
        <w:ind w:left="720"/>
        <w:rPr>
          <w:rFonts w:asciiTheme="minorHAnsi" w:hAnsiTheme="minorHAnsi" w:cstheme="minorHAnsi"/>
        </w:rPr>
      </w:pPr>
    </w:p>
    <w:sectPr w:rsidR="009F0FD2">
      <w:headerReference w:type="even" r:id="rId13"/>
      <w:headerReference w:type="default" r:id="rId14"/>
      <w:footerReference w:type="even" r:id="rId15"/>
      <w:footerReference w:type="default" r:id="rId16"/>
      <w:headerReference w:type="first" r:id="rId17"/>
      <w:footerReference w:type="first" r:id="rId1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E2CDC" w14:textId="77777777" w:rsidR="00230FD1" w:rsidRDefault="00230FD1">
      <w:r>
        <w:separator/>
      </w:r>
    </w:p>
  </w:endnote>
  <w:endnote w:type="continuationSeparator" w:id="0">
    <w:p w14:paraId="04C888A2" w14:textId="77777777" w:rsidR="00230FD1" w:rsidRDefault="00230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D7C98" w14:textId="77777777" w:rsidR="009F0FD2" w:rsidRDefault="009F0F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2D7B" w14:textId="77777777" w:rsidR="009F0FD2" w:rsidRDefault="0061373F">
    <w:pPr>
      <w:pStyle w:val="Footer"/>
    </w:pPr>
    <w:r>
      <w:tab/>
    </w: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8AE16" w14:textId="77777777" w:rsidR="009F0FD2" w:rsidRDefault="009F0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5D5AB" w14:textId="77777777" w:rsidR="00230FD1" w:rsidRDefault="00230FD1">
      <w:r>
        <w:separator/>
      </w:r>
    </w:p>
  </w:footnote>
  <w:footnote w:type="continuationSeparator" w:id="0">
    <w:p w14:paraId="1A8BFD25" w14:textId="77777777" w:rsidR="00230FD1" w:rsidRDefault="00230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6C58C" w14:textId="77777777" w:rsidR="009F0FD2" w:rsidRDefault="009F0F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368C" w14:textId="77777777" w:rsidR="009F0FD2" w:rsidRDefault="0061373F">
    <w:pPr>
      <w:pStyle w:val="Header"/>
    </w:pPr>
    <w:r>
      <w:rPr>
        <w:noProof/>
        <w:lang w:val="de-DE" w:eastAsia="de-DE"/>
      </w:rPr>
      <w:drawing>
        <wp:inline distT="0" distB="0" distL="0" distR="0" wp14:anchorId="199C0664" wp14:editId="11ADFBB4">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2FB3" w14:textId="77777777" w:rsidR="009F0FD2" w:rsidRDefault="009F0F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F057D9E"/>
    <w:multiLevelType w:val="hybridMultilevel"/>
    <w:tmpl w:val="C444E46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B39174E"/>
    <w:multiLevelType w:val="hybridMultilevel"/>
    <w:tmpl w:val="4BAC94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3F6680F"/>
    <w:multiLevelType w:val="hybridMultilevel"/>
    <w:tmpl w:val="974498AE"/>
    <w:lvl w:ilvl="0" w:tplc="726032F0">
      <w:start w:val="1"/>
      <w:numFmt w:val="bullet"/>
      <w:lvlText w:val=""/>
      <w:lvlJc w:val="left"/>
      <w:pPr>
        <w:ind w:left="477" w:hanging="360"/>
      </w:pPr>
      <w:rPr>
        <w:rFonts w:ascii="Symbol" w:hAnsi="Symbol" w:cs="Symbol" w:hint="default"/>
        <w:color w:val="0070C0"/>
      </w:rPr>
    </w:lvl>
    <w:lvl w:ilvl="1" w:tplc="04070003" w:tentative="1">
      <w:start w:val="1"/>
      <w:numFmt w:val="bullet"/>
      <w:lvlText w:val="o"/>
      <w:lvlJc w:val="left"/>
      <w:pPr>
        <w:ind w:left="1197" w:hanging="360"/>
      </w:pPr>
      <w:rPr>
        <w:rFonts w:ascii="Courier New" w:hAnsi="Courier New" w:cs="Courier New" w:hint="default"/>
      </w:rPr>
    </w:lvl>
    <w:lvl w:ilvl="2" w:tplc="04070005" w:tentative="1">
      <w:start w:val="1"/>
      <w:numFmt w:val="bullet"/>
      <w:lvlText w:val=""/>
      <w:lvlJc w:val="left"/>
      <w:pPr>
        <w:ind w:left="1917" w:hanging="360"/>
      </w:pPr>
      <w:rPr>
        <w:rFonts w:ascii="Wingdings" w:hAnsi="Wingdings" w:hint="default"/>
      </w:rPr>
    </w:lvl>
    <w:lvl w:ilvl="3" w:tplc="04070001" w:tentative="1">
      <w:start w:val="1"/>
      <w:numFmt w:val="bullet"/>
      <w:lvlText w:val=""/>
      <w:lvlJc w:val="left"/>
      <w:pPr>
        <w:ind w:left="2637" w:hanging="360"/>
      </w:pPr>
      <w:rPr>
        <w:rFonts w:ascii="Symbol" w:hAnsi="Symbol" w:hint="default"/>
      </w:rPr>
    </w:lvl>
    <w:lvl w:ilvl="4" w:tplc="04070003" w:tentative="1">
      <w:start w:val="1"/>
      <w:numFmt w:val="bullet"/>
      <w:lvlText w:val="o"/>
      <w:lvlJc w:val="left"/>
      <w:pPr>
        <w:ind w:left="3357" w:hanging="360"/>
      </w:pPr>
      <w:rPr>
        <w:rFonts w:ascii="Courier New" w:hAnsi="Courier New" w:cs="Courier New" w:hint="default"/>
      </w:rPr>
    </w:lvl>
    <w:lvl w:ilvl="5" w:tplc="04070005" w:tentative="1">
      <w:start w:val="1"/>
      <w:numFmt w:val="bullet"/>
      <w:lvlText w:val=""/>
      <w:lvlJc w:val="left"/>
      <w:pPr>
        <w:ind w:left="4077" w:hanging="360"/>
      </w:pPr>
      <w:rPr>
        <w:rFonts w:ascii="Wingdings" w:hAnsi="Wingdings" w:hint="default"/>
      </w:rPr>
    </w:lvl>
    <w:lvl w:ilvl="6" w:tplc="04070001" w:tentative="1">
      <w:start w:val="1"/>
      <w:numFmt w:val="bullet"/>
      <w:lvlText w:val=""/>
      <w:lvlJc w:val="left"/>
      <w:pPr>
        <w:ind w:left="4797" w:hanging="360"/>
      </w:pPr>
      <w:rPr>
        <w:rFonts w:ascii="Symbol" w:hAnsi="Symbol" w:hint="default"/>
      </w:rPr>
    </w:lvl>
    <w:lvl w:ilvl="7" w:tplc="04070003" w:tentative="1">
      <w:start w:val="1"/>
      <w:numFmt w:val="bullet"/>
      <w:lvlText w:val="o"/>
      <w:lvlJc w:val="left"/>
      <w:pPr>
        <w:ind w:left="5517" w:hanging="360"/>
      </w:pPr>
      <w:rPr>
        <w:rFonts w:ascii="Courier New" w:hAnsi="Courier New" w:cs="Courier New" w:hint="default"/>
      </w:rPr>
    </w:lvl>
    <w:lvl w:ilvl="8" w:tplc="04070005" w:tentative="1">
      <w:start w:val="1"/>
      <w:numFmt w:val="bullet"/>
      <w:lvlText w:val=""/>
      <w:lvlJc w:val="left"/>
      <w:pPr>
        <w:ind w:left="6237" w:hanging="360"/>
      </w:pPr>
      <w:rPr>
        <w:rFonts w:ascii="Wingdings" w:hAnsi="Wingdings" w:hint="default"/>
      </w:rPr>
    </w:lvl>
  </w:abstractNum>
  <w:abstractNum w:abstractNumId="17"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8"/>
  </w:num>
  <w:num w:numId="3">
    <w:abstractNumId w:val="12"/>
  </w:num>
  <w:num w:numId="4">
    <w:abstractNumId w:val="12"/>
  </w:num>
  <w:num w:numId="5">
    <w:abstractNumId w:val="5"/>
  </w:num>
  <w:num w:numId="6">
    <w:abstractNumId w:val="13"/>
  </w:num>
  <w:num w:numId="7">
    <w:abstractNumId w:val="9"/>
  </w:num>
  <w:num w:numId="8">
    <w:abstractNumId w:val="0"/>
  </w:num>
  <w:num w:numId="9">
    <w:abstractNumId w:val="4"/>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7"/>
  </w:num>
  <w:num w:numId="18">
    <w:abstractNumId w:val="3"/>
  </w:num>
  <w:num w:numId="19">
    <w:abstractNumId w:val="15"/>
  </w:num>
  <w:num w:numId="20">
    <w:abstractNumId w:val="10"/>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7"/>
  </w:num>
  <w:num w:numId="26">
    <w:abstractNumId w:val="2"/>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FD2"/>
    <w:rsid w:val="00147113"/>
    <w:rsid w:val="0016695C"/>
    <w:rsid w:val="00230FD1"/>
    <w:rsid w:val="0035016A"/>
    <w:rsid w:val="00492CF6"/>
    <w:rsid w:val="004C7BEE"/>
    <w:rsid w:val="005B0E79"/>
    <w:rsid w:val="006120C2"/>
    <w:rsid w:val="0061373F"/>
    <w:rsid w:val="008952BE"/>
    <w:rsid w:val="008F162A"/>
    <w:rsid w:val="009F0FD2"/>
    <w:rsid w:val="00CA3D87"/>
    <w:rsid w:val="00D130E4"/>
    <w:rsid w:val="00EB778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F3F22E"/>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qFormat/>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pPr>
      <w:numPr>
        <w:ilvl w:val="1"/>
      </w:numPr>
      <w:tabs>
        <w:tab w:val="clear" w:pos="576"/>
        <w:tab w:val="left" w:pos="851"/>
      </w:tabs>
      <w:ind w:left="851" w:hanging="851"/>
      <w:jc w:val="both"/>
      <w:outlineLvl w:val="1"/>
    </w:pPr>
  </w:style>
  <w:style w:type="paragraph" w:styleId="Heading3">
    <w:name w:val="heading 3"/>
    <w:basedOn w:val="Normal"/>
    <w:next w:val="Normal"/>
    <w:autoRedefine/>
    <w:qFormat/>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pPr>
      <w:numPr>
        <w:ilvl w:val="5"/>
        <w:numId w:val="15"/>
      </w:numPr>
      <w:spacing w:before="240" w:after="60"/>
      <w:outlineLvl w:val="5"/>
    </w:pPr>
    <w:rPr>
      <w:rFonts w:cs="Arial"/>
      <w:b/>
      <w:bCs/>
      <w:lang w:val="fr-FR" w:eastAsia="en-GB"/>
    </w:rPr>
  </w:style>
  <w:style w:type="paragraph" w:styleId="Heading7">
    <w:name w:val="heading 7"/>
    <w:basedOn w:val="Normal"/>
    <w:next w:val="Normal"/>
    <w:pPr>
      <w:numPr>
        <w:ilvl w:val="6"/>
        <w:numId w:val="1"/>
      </w:numPr>
      <w:spacing w:before="240" w:after="60"/>
      <w:outlineLvl w:val="6"/>
    </w:pPr>
  </w:style>
  <w:style w:type="paragraph" w:styleId="Heading8">
    <w:name w:val="heading 8"/>
    <w:basedOn w:val="Normal"/>
    <w:next w:val="Normal"/>
    <w:pPr>
      <w:numPr>
        <w:ilvl w:val="7"/>
        <w:numId w:val="1"/>
      </w:numPr>
      <w:spacing w:before="240" w:after="60"/>
      <w:outlineLvl w:val="7"/>
    </w:pPr>
    <w:rPr>
      <w:i/>
      <w:iCs/>
    </w:rPr>
  </w:style>
  <w:style w:type="paragraph" w:styleId="Heading9">
    <w:name w:val="heading 9"/>
    <w:basedOn w:val="Normal"/>
    <w:next w:val="Normal"/>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before="240" w:after="60"/>
      <w:jc w:val="center"/>
      <w:outlineLvl w:val="0"/>
    </w:pPr>
    <w:rPr>
      <w:rFonts w:cs="Arial"/>
      <w:b/>
      <w:bCs/>
      <w:kern w:val="28"/>
      <w:sz w:val="32"/>
      <w:szCs w:val="32"/>
    </w:rPr>
  </w:style>
  <w:style w:type="paragraph" w:styleId="BodyText">
    <w:name w:val="Body Text"/>
    <w:basedOn w:val="Normal"/>
    <w:link w:val="BodyTextChar"/>
    <w:qFormat/>
    <w:pPr>
      <w:spacing w:after="120"/>
      <w:jc w:val="both"/>
    </w:pPr>
    <w:rPr>
      <w:rFonts w:ascii="Calibri" w:eastAsia="Calibri" w:hAnsi="Calibri" w:cs="Calibri"/>
      <w:szCs w:val="22"/>
      <w:lang w:eastAsia="en-GB"/>
    </w:rPr>
  </w:style>
  <w:style w:type="paragraph" w:customStyle="1" w:styleId="Annex">
    <w:name w:val="Annex"/>
    <w:basedOn w:val="Heading1"/>
    <w:next w:val="Normal"/>
    <w:pPr>
      <w:numPr>
        <w:numId w:val="6"/>
      </w:numPr>
      <w:tabs>
        <w:tab w:val="left" w:pos="1701"/>
      </w:tabs>
    </w:pPr>
    <w:rPr>
      <w:bCs/>
      <w:snapToGrid w:val="0"/>
    </w:rPr>
  </w:style>
  <w:style w:type="paragraph" w:customStyle="1" w:styleId="Bullet1">
    <w:name w:val="Bullet 1"/>
    <w:basedOn w:val="Normal"/>
    <w:qFormat/>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pPr>
      <w:suppressAutoHyphens/>
      <w:spacing w:after="120"/>
      <w:ind w:left="1134"/>
      <w:jc w:val="both"/>
    </w:pPr>
    <w:rPr>
      <w:lang w:val="fr-FR" w:eastAsia="en-GB"/>
    </w:rPr>
  </w:style>
  <w:style w:type="paragraph" w:customStyle="1" w:styleId="Bullet2">
    <w:name w:val="Bullet 2"/>
    <w:basedOn w:val="Normal"/>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pPr>
      <w:suppressAutoHyphens/>
      <w:spacing w:after="120"/>
      <w:ind w:left="1701"/>
      <w:jc w:val="both"/>
    </w:pPr>
    <w:rPr>
      <w:lang w:val="fr-FR" w:eastAsia="en-GB"/>
    </w:rPr>
  </w:style>
  <w:style w:type="paragraph" w:customStyle="1" w:styleId="Bullet3">
    <w:name w:val="Bullet 3"/>
    <w:basedOn w:val="Normal"/>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pPr>
      <w:suppressAutoHyphens/>
      <w:spacing w:after="60"/>
      <w:ind w:left="2268"/>
    </w:pPr>
    <w:rPr>
      <w:sz w:val="20"/>
      <w:lang w:val="fr-FR" w:eastAsia="en-GB"/>
    </w:rPr>
  </w:style>
  <w:style w:type="paragraph" w:customStyle="1" w:styleId="Figure">
    <w:name w:val="Figure_#"/>
    <w:basedOn w:val="Normal"/>
    <w:next w:val="Normal"/>
    <w:pPr>
      <w:numPr>
        <w:numId w:val="10"/>
      </w:numPr>
      <w:jc w:val="center"/>
    </w:pPr>
    <w:rPr>
      <w:i/>
      <w:lang w:val="fr-FR" w:eastAsia="en-GB"/>
    </w:rPr>
  </w:style>
  <w:style w:type="paragraph" w:styleId="Footer">
    <w:name w:val="footer"/>
    <w:basedOn w:val="Normal"/>
    <w:link w:val="FooterChar"/>
    <w:pPr>
      <w:tabs>
        <w:tab w:val="center" w:pos="4820"/>
        <w:tab w:val="right" w:pos="9639"/>
      </w:tabs>
    </w:pPr>
    <w:rPr>
      <w:rFonts w:eastAsia="MS Mincho" w:cs="Arial"/>
      <w:lang w:val="fr-FR" w:eastAsia="ja-JP"/>
    </w:rPr>
  </w:style>
  <w:style w:type="character" w:customStyle="1" w:styleId="FooterChar">
    <w:name w:val="Footer Char"/>
    <w:link w:val="Footer"/>
    <w:rPr>
      <w:rFonts w:ascii="Arial" w:eastAsia="MS Mincho" w:hAnsi="Arial" w:cs="Arial"/>
      <w:sz w:val="22"/>
      <w:szCs w:val="24"/>
      <w:lang w:val="fr-FR" w:eastAsia="ja-JP"/>
    </w:rPr>
  </w:style>
  <w:style w:type="paragraph" w:styleId="Header">
    <w:name w:val="header"/>
    <w:basedOn w:val="Normal"/>
    <w:link w:val="HeaderChar"/>
    <w:pPr>
      <w:tabs>
        <w:tab w:val="center" w:pos="4820"/>
        <w:tab w:val="right" w:pos="9639"/>
      </w:tabs>
      <w:jc w:val="right"/>
    </w:pPr>
    <w:rPr>
      <w:rFonts w:eastAsia="MS Mincho"/>
      <w:sz w:val="20"/>
      <w:lang w:val="fr-FR" w:eastAsia="ja-JP"/>
    </w:rPr>
  </w:style>
  <w:style w:type="character" w:customStyle="1" w:styleId="HeaderChar">
    <w:name w:val="Header Char"/>
    <w:link w:val="Header"/>
    <w:rPr>
      <w:rFonts w:ascii="Arial" w:eastAsia="MS Mincho" w:hAnsi="Arial"/>
      <w:lang w:val="fr-FR" w:eastAsia="ja-JP"/>
    </w:rPr>
  </w:style>
  <w:style w:type="paragraph" w:customStyle="1" w:styleId="List1">
    <w:name w:val="List 1"/>
    <w:basedOn w:val="Normal"/>
    <w:qFormat/>
    <w:pPr>
      <w:numPr>
        <w:numId w:val="22"/>
      </w:numPr>
      <w:spacing w:after="120"/>
      <w:jc w:val="both"/>
    </w:pPr>
    <w:rPr>
      <w:rFonts w:ascii="Calibri" w:hAnsi="Calibri"/>
      <w:lang w:val="fr-FR" w:eastAsia="en-GB"/>
    </w:rPr>
  </w:style>
  <w:style w:type="paragraph" w:customStyle="1" w:styleId="List1indent1">
    <w:name w:val="List 1 indent 1"/>
    <w:basedOn w:val="Normal"/>
    <w:pPr>
      <w:numPr>
        <w:ilvl w:val="1"/>
        <w:numId w:val="22"/>
      </w:numPr>
      <w:spacing w:after="120"/>
      <w:jc w:val="both"/>
    </w:pPr>
    <w:rPr>
      <w:lang w:val="fr-FR" w:eastAsia="en-GB"/>
    </w:rPr>
  </w:style>
  <w:style w:type="paragraph" w:customStyle="1" w:styleId="List1indent1text">
    <w:name w:val="List 1 indent 1 text"/>
    <w:basedOn w:val="Normal"/>
    <w:pPr>
      <w:spacing w:after="120"/>
      <w:ind w:left="1134"/>
      <w:jc w:val="both"/>
    </w:pPr>
    <w:rPr>
      <w:lang w:val="fr-FR" w:eastAsia="fr-FR"/>
    </w:rPr>
  </w:style>
  <w:style w:type="paragraph" w:customStyle="1" w:styleId="List1indent2">
    <w:name w:val="List 1 indent 2"/>
    <w:basedOn w:val="Normal"/>
    <w:qFormat/>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pPr>
      <w:spacing w:after="60"/>
      <w:ind w:left="1701"/>
      <w:jc w:val="both"/>
    </w:pPr>
    <w:rPr>
      <w:sz w:val="20"/>
      <w:lang w:val="fr-FR" w:eastAsia="en-GB"/>
    </w:rPr>
  </w:style>
  <w:style w:type="paragraph" w:customStyle="1" w:styleId="List1text">
    <w:name w:val="List 1 text"/>
    <w:basedOn w:val="Normal"/>
    <w:qFormat/>
    <w:pPr>
      <w:spacing w:after="120"/>
      <w:ind w:left="567"/>
    </w:pPr>
    <w:rPr>
      <w:lang w:val="fr-FR" w:eastAsia="en-GB"/>
    </w:rPr>
  </w:style>
  <w:style w:type="character" w:styleId="PageNumber">
    <w:name w:val="page number"/>
    <w:rPr>
      <w:rFonts w:ascii="Arial" w:hAnsi="Arial"/>
      <w:sz w:val="20"/>
    </w:rPr>
  </w:style>
  <w:style w:type="paragraph" w:customStyle="1" w:styleId="StyleTableofFiguresJustifiedAfter6pt">
    <w:name w:val="Style Table of Figures + Justified After:  6 pt"/>
    <w:basedOn w:val="TableofFigures"/>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Pr>
      <w:lang w:val="fr-FR" w:eastAsia="fr-FR"/>
    </w:rPr>
  </w:style>
  <w:style w:type="paragraph" w:customStyle="1" w:styleId="Table">
    <w:name w:val="Table_#"/>
    <w:basedOn w:val="Normal"/>
    <w:next w:val="Normal"/>
    <w:pPr>
      <w:numPr>
        <w:numId w:val="20"/>
      </w:numPr>
      <w:jc w:val="center"/>
    </w:pPr>
    <w:rPr>
      <w:i/>
      <w:szCs w:val="24"/>
      <w:lang w:val="fr-FR" w:eastAsia="en-GB"/>
    </w:rPr>
  </w:style>
  <w:style w:type="character" w:customStyle="1" w:styleId="BodyTextChar">
    <w:name w:val="Body Text Char"/>
    <w:link w:val="BodyText"/>
    <w:rPr>
      <w:rFonts w:ascii="Calibri" w:eastAsia="Calibri" w:hAnsi="Calibri" w:cs="Calibri"/>
      <w:sz w:val="22"/>
      <w:szCs w:val="22"/>
      <w:lang w:val="en-GB" w:eastAsia="en-GB"/>
    </w:rPr>
  </w:style>
  <w:style w:type="paragraph" w:styleId="BodyTextIndent">
    <w:name w:val="Body Text Indent"/>
    <w:basedOn w:val="Normal"/>
    <w:link w:val="BodyTextIndentChar"/>
    <w:pPr>
      <w:spacing w:after="120"/>
      <w:ind w:left="567"/>
    </w:pPr>
    <w:rPr>
      <w:rFonts w:eastAsia="Calibri" w:cs="Calibri"/>
      <w:szCs w:val="22"/>
      <w:lang w:eastAsia="en-GB"/>
    </w:rPr>
  </w:style>
  <w:style w:type="character" w:customStyle="1" w:styleId="BodyTextIndentChar">
    <w:name w:val="Body Text Indent Char"/>
    <w:link w:val="BodyTextIndent"/>
    <w:rPr>
      <w:rFonts w:ascii="Arial" w:eastAsia="Calibri" w:hAnsi="Arial" w:cs="Calibri"/>
      <w:sz w:val="22"/>
      <w:szCs w:val="22"/>
    </w:rPr>
  </w:style>
  <w:style w:type="paragraph" w:styleId="BodyTextIndent2">
    <w:name w:val="Body Text Indent 2"/>
    <w:basedOn w:val="Normal"/>
    <w:link w:val="BodyTextIndent2Char"/>
    <w:pPr>
      <w:spacing w:after="120"/>
      <w:ind w:left="1134"/>
      <w:jc w:val="both"/>
    </w:pPr>
    <w:rPr>
      <w:rFonts w:eastAsia="Calibri" w:cs="Calibri"/>
      <w:szCs w:val="22"/>
      <w:lang w:eastAsia="de-DE"/>
    </w:rPr>
  </w:style>
  <w:style w:type="character" w:customStyle="1" w:styleId="BodyTextIndent2Char">
    <w:name w:val="Body Text Indent 2 Char"/>
    <w:link w:val="BodyTextIndent2"/>
    <w:rPr>
      <w:rFonts w:ascii="Arial" w:eastAsia="Calibri" w:hAnsi="Arial" w:cs="Calibri"/>
      <w:sz w:val="22"/>
      <w:szCs w:val="22"/>
      <w:lang w:eastAsia="de-DE"/>
    </w:rPr>
  </w:style>
  <w:style w:type="paragraph" w:styleId="BalloonText">
    <w:name w:val="Balloon Text"/>
    <w:basedOn w:val="Normal"/>
    <w:link w:val="BalloonTextChar"/>
    <w:rPr>
      <w:rFonts w:ascii="Segoe UI" w:hAnsi="Segoe UI" w:cs="Segoe UI"/>
      <w:sz w:val="18"/>
      <w:szCs w:val="18"/>
    </w:rPr>
  </w:style>
  <w:style w:type="character" w:customStyle="1" w:styleId="BalloonTextChar">
    <w:name w:val="Balloon Text Char"/>
    <w:basedOn w:val="DefaultParagraphFont"/>
    <w:link w:val="BalloonText"/>
    <w:rPr>
      <w:rFonts w:ascii="Segoe UI" w:hAnsi="Segoe UI" w:cs="Segoe UI"/>
      <w:sz w:val="18"/>
      <w:szCs w:val="18"/>
      <w:lang w:val="en-GB"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val="en-GB"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val="en-GB" w:eastAsia="en-US"/>
    </w:rPr>
  </w:style>
  <w:style w:type="paragraph" w:customStyle="1" w:styleId="References">
    <w:name w:val="References"/>
    <w:basedOn w:val="Normal"/>
    <w:qFormat/>
    <w:pPr>
      <w:numPr>
        <w:numId w:val="26"/>
      </w:numPr>
      <w:spacing w:after="120"/>
    </w:pPr>
    <w:rPr>
      <w:rFonts w:eastAsia="Calibri" w:cs="Calibri"/>
      <w:lang w:eastAsia="en-GB"/>
    </w:rPr>
  </w:style>
  <w:style w:type="paragraph" w:styleId="ListParagraph">
    <w:name w:val="List Paragraph"/>
    <w:basedOn w:val="Normal"/>
    <w:uiPriority w:val="34"/>
    <w:qFormat/>
    <w:pPr>
      <w:ind w:left="720"/>
      <w:contextualSpacing/>
    </w:pPr>
  </w:style>
  <w:style w:type="character" w:styleId="Hyperlink">
    <w:name w:val="Hyperlink"/>
    <w:uiPriority w:val="99"/>
    <w:rPr>
      <w:dstrike w:val="0"/>
      <w:bdr w:val="none" w:sz="0" w:space="0" w:color="auto"/>
      <w:vertAlign w:val="baseline"/>
    </w:rPr>
  </w:style>
  <w:style w:type="table" w:styleId="TableGrid">
    <w:name w:val="Table Grid"/>
    <w:basedOn w:val="TableNormal"/>
    <w:uiPriority w:val="59"/>
    <w:rPr>
      <w:rFonts w:ascii="Calibri" w:eastAsia="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archmatch">
    <w:name w:val="searchmatch"/>
    <w:basedOn w:val="DefaultParagraphFont"/>
  </w:style>
  <w:style w:type="paragraph" w:styleId="Caption">
    <w:name w:val="caption"/>
    <w:basedOn w:val="Normal"/>
    <w:next w:val="Normal"/>
    <w:unhideWhenUsed/>
    <w:qFormat/>
    <w:pPr>
      <w:spacing w:after="200"/>
    </w:pPr>
    <w:rPr>
      <w:i/>
      <w:iCs/>
      <w:color w:val="44546A" w:themeColor="text2"/>
      <w:sz w:val="18"/>
      <w:szCs w:val="18"/>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sid w:val="008F162A"/>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 w:id="1257250474">
      <w:bodyDiv w:val="1"/>
      <w:marLeft w:val="0"/>
      <w:marRight w:val="0"/>
      <w:marTop w:val="0"/>
      <w:marBottom w:val="0"/>
      <w:divBdr>
        <w:top w:val="none" w:sz="0" w:space="0" w:color="auto"/>
        <w:left w:val="none" w:sz="0" w:space="0" w:color="auto"/>
        <w:bottom w:val="none" w:sz="0" w:space="0" w:color="auto"/>
        <w:right w:val="none" w:sz="0" w:space="0" w:color="auto"/>
      </w:divBdr>
    </w:div>
    <w:div w:id="2049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wiki/dictionary/index.php/Luminous_Rang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B99E93-66A2-406C-A550-F3AF477D56C8}">
  <ds:schemaRefs>
    <ds:schemaRef ds:uri="http://schemas.openxmlformats.org/officeDocument/2006/bibliography"/>
  </ds:schemaRefs>
</ds:datastoreItem>
</file>

<file path=customXml/itemProps3.xml><?xml version="1.0" encoding="utf-8"?>
<ds:datastoreItem xmlns:ds="http://schemas.openxmlformats.org/officeDocument/2006/customXml" ds:itemID="{3A21FBEE-75DB-4422-A5D3-5CE136F15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C9D35C-ADE5-494D-813F-8DD0129A50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1</TotalTime>
  <Pages>2</Pages>
  <Words>675</Words>
  <Characters>3542</Characters>
  <Application>Microsoft Office Word</Application>
  <DocSecurity>0</DocSecurity>
  <Lines>29</Lines>
  <Paragraphs>8</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Tittel</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5</cp:revision>
  <cp:lastPrinted>2006-10-19T10:49:00Z</cp:lastPrinted>
  <dcterms:created xsi:type="dcterms:W3CDTF">2022-03-15T09:24:00Z</dcterms:created>
  <dcterms:modified xsi:type="dcterms:W3CDTF">2022-03-15T10:48:00Z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y fmtid="{D5CDD505-2E9C-101B-9397-08002B2CF9AE}" pid="4" name="MSIP_Label_1bfb733f-faef-464c-9b6d-731b56f94973_Enabled">
    <vt:lpwstr>true</vt:lpwstr>
  </property>
  <property fmtid="{D5CDD505-2E9C-101B-9397-08002B2CF9AE}" pid="5" name="MSIP_Label_1bfb733f-faef-464c-9b6d-731b56f94973_SetDate">
    <vt:lpwstr>2021-10-25T14:41:04Z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52ac55e5-c875-459d-8da2-0000af1e8f57</vt:lpwstr>
  </property>
</Properties>
</file>